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20AF0" w:rsidRPr="008A7ED2" w:rsidTr="00694AF4">
        <w:trPr>
          <w:trHeight w:val="1275"/>
        </w:trPr>
        <w:tc>
          <w:tcPr>
            <w:tcW w:w="9570" w:type="dxa"/>
            <w:hideMark/>
          </w:tcPr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20AF0" w:rsidRPr="008A7ED2" w:rsidTr="00694AF4">
        <w:trPr>
          <w:trHeight w:val="1476"/>
        </w:trPr>
        <w:tc>
          <w:tcPr>
            <w:tcW w:w="3936" w:type="dxa"/>
            <w:hideMark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«</w:t>
      </w:r>
      <w:r w:rsidR="00691F74">
        <w:rPr>
          <w:rFonts w:ascii="Times New Roman" w:hAnsi="Times New Roman" w:cs="Times New Roman"/>
          <w:b/>
          <w:sz w:val="24"/>
          <w:szCs w:val="24"/>
        </w:rPr>
        <w:t>Волшебная кисточка</w:t>
      </w:r>
      <w:r w:rsidR="00A82A5B">
        <w:rPr>
          <w:rFonts w:ascii="Times New Roman" w:hAnsi="Times New Roman" w:cs="Times New Roman"/>
          <w:b/>
          <w:sz w:val="24"/>
          <w:szCs w:val="24"/>
        </w:rPr>
        <w:t>»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реализации программы – очная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Год обучения – </w:t>
      </w:r>
      <w:r w:rsidR="00691F74">
        <w:rPr>
          <w:rFonts w:ascii="Times New Roman" w:eastAsia="Times New Roman" w:hAnsi="Times New Roman" w:cs="Times New Roman"/>
          <w:sz w:val="24"/>
        </w:rPr>
        <w:t>второй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Номер группы </w:t>
      </w:r>
      <w:r w:rsidR="00691F74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1F74">
        <w:rPr>
          <w:rFonts w:ascii="Times New Roman" w:eastAsia="Times New Roman" w:hAnsi="Times New Roman" w:cs="Times New Roman"/>
          <w:sz w:val="24"/>
        </w:rPr>
        <w:t>1, 2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 обучающихся: </w:t>
      </w:r>
      <w:r w:rsidR="00691F74">
        <w:rPr>
          <w:rFonts w:ascii="Times New Roman" w:eastAsia="Times New Roman" w:hAnsi="Times New Roman" w:cs="Times New Roman"/>
          <w:sz w:val="24"/>
        </w:rPr>
        <w:t>6-7</w:t>
      </w:r>
      <w:r>
        <w:rPr>
          <w:rFonts w:ascii="Times New Roman" w:eastAsia="Times New Roman" w:hAnsi="Times New Roman" w:cs="Times New Roman"/>
          <w:sz w:val="24"/>
        </w:rPr>
        <w:t xml:space="preserve"> лет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20AF0" w:rsidRPr="008A7ED2" w:rsidTr="00694AF4">
        <w:trPr>
          <w:trHeight w:val="1785"/>
        </w:trPr>
        <w:tc>
          <w:tcPr>
            <w:tcW w:w="550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92" w:rsidRPr="008A7ED2" w:rsidRDefault="00A20AF0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г. Енисейск</w:t>
      </w:r>
    </w:p>
    <w:p w:rsidR="00691F74" w:rsidRDefault="00691F74" w:rsidP="0069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1F74" w:rsidRPr="00691F74" w:rsidRDefault="00691F74" w:rsidP="0069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t xml:space="preserve">         Программа «Волшебная кисточка. Пропедевтика» является программой подготовительного  уровня обучения основам изобразительной грамоты. Полученные в процессе </w:t>
      </w:r>
      <w:proofErr w:type="gramStart"/>
      <w:r w:rsidRPr="00691F74">
        <w:t>обучения по программе</w:t>
      </w:r>
      <w:proofErr w:type="gramEnd"/>
      <w:r w:rsidRPr="00691F74">
        <w:t xml:space="preserve"> «Волшебная кисточка. Пропедевтика» знания необходимы для дальнейшего </w:t>
      </w:r>
      <w:proofErr w:type="gramStart"/>
      <w:r w:rsidRPr="00691F74">
        <w:t>обучения по программе</w:t>
      </w:r>
      <w:proofErr w:type="gramEnd"/>
      <w:r w:rsidRPr="00691F74">
        <w:t xml:space="preserve">  курса «Друзья волшебной кисти. Подготовительный курс». Программа «Волшебная кисточка» является своего рода продолжением пропедевтического курса «Волшебная кисточка». Программа составлена </w:t>
      </w:r>
      <w:r w:rsidRPr="00691F74">
        <w:rPr>
          <w:color w:val="000000"/>
        </w:rPr>
        <w:t xml:space="preserve">в соответствии с нормативными документами: Федеральный закон от 29.12.2012 № 273-ФЗ «Об образовании в Российской Федерации».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91F74">
          <w:rPr>
            <w:color w:val="000000"/>
          </w:rPr>
          <w:t>2013 г</w:t>
        </w:r>
      </w:smartTag>
      <w:r w:rsidRPr="00691F74">
        <w:rPr>
          <w:color w:val="000000"/>
        </w:rPr>
        <w:t xml:space="preserve">. № 1155 «Об утверждении федерального государственного образовательного стандарта дошкольного образования». </w:t>
      </w:r>
      <w:proofErr w:type="spellStart"/>
      <w:r w:rsidRPr="00691F74">
        <w:rPr>
          <w:color w:val="000000"/>
        </w:rPr>
        <w:t>СанПиН</w:t>
      </w:r>
      <w:proofErr w:type="spellEnd"/>
      <w:r w:rsidRPr="00691F74">
        <w:rPr>
          <w:color w:val="000000"/>
        </w:rPr>
        <w:t xml:space="preserve"> 2.4.1.3049-13 "Санитарные -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91F74">
          <w:rPr>
            <w:color w:val="000000"/>
          </w:rPr>
          <w:t>2013 г</w:t>
        </w:r>
      </w:smartTag>
      <w:r w:rsidRPr="00691F74">
        <w:rPr>
          <w:color w:val="000000"/>
        </w:rPr>
        <w:t xml:space="preserve">. №26). Программными материалами: </w:t>
      </w:r>
      <w:proofErr w:type="spellStart"/>
      <w:r w:rsidRPr="00691F74">
        <w:t>Копцева</w:t>
      </w:r>
      <w:proofErr w:type="spellEnd"/>
      <w:r w:rsidRPr="00691F74">
        <w:t xml:space="preserve"> Т.А. Природа и художник. Художественно – 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– М.: ТЦ Сфера, 2006. Лыкова И.А.,      программа «Цветные ладошки».- М.: Просвещение , 2008</w:t>
      </w:r>
    </w:p>
    <w:p w:rsidR="00691F74" w:rsidRPr="00691F74" w:rsidRDefault="00691F74" w:rsidP="00691F74">
      <w:pPr>
        <w:tabs>
          <w:tab w:val="left" w:pos="63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 xml:space="preserve">             Направленность программы.</w:t>
      </w:r>
    </w:p>
    <w:p w:rsidR="00691F74" w:rsidRPr="00691F74" w:rsidRDefault="00691F74" w:rsidP="00691F7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1F74">
        <w:rPr>
          <w:rFonts w:ascii="Times New Roman" w:hAnsi="Times New Roman"/>
          <w:sz w:val="24"/>
          <w:szCs w:val="24"/>
        </w:rPr>
        <w:t xml:space="preserve">             Программа «Волшебная кисточка. Пропедевтика» </w:t>
      </w:r>
      <w:proofErr w:type="spellStart"/>
      <w:r w:rsidRPr="00691F74">
        <w:rPr>
          <w:rFonts w:ascii="Times New Roman" w:hAnsi="Times New Roman"/>
          <w:sz w:val="24"/>
          <w:szCs w:val="24"/>
        </w:rPr>
        <w:t>экологична</w:t>
      </w:r>
      <w:proofErr w:type="spellEnd"/>
      <w:r w:rsidRPr="00691F74">
        <w:rPr>
          <w:rFonts w:ascii="Times New Roman" w:hAnsi="Times New Roman"/>
          <w:sz w:val="24"/>
          <w:szCs w:val="24"/>
        </w:rPr>
        <w:t xml:space="preserve"> по своей сути, но  имеет художественную направленность. Представленная программа направлена на формирование у дошкольников художественной культуры как части духовной, на приобщение учащихся 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  <w:r w:rsidRPr="00691F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91F74">
        <w:rPr>
          <w:rFonts w:ascii="Times New Roman" w:hAnsi="Times New Roman"/>
          <w:color w:val="000000"/>
          <w:sz w:val="24"/>
          <w:szCs w:val="24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ab/>
      </w:r>
      <w:r w:rsidRPr="00691F74">
        <w:rPr>
          <w:rFonts w:ascii="Times New Roman" w:hAnsi="Times New Roman" w:cs="Times New Roman"/>
          <w:b/>
          <w:sz w:val="24"/>
          <w:szCs w:val="24"/>
        </w:rPr>
        <w:t xml:space="preserve">          Отличительная особенность программы.</w:t>
      </w:r>
    </w:p>
    <w:p w:rsidR="00691F74" w:rsidRPr="00691F74" w:rsidRDefault="00691F74" w:rsidP="0069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    Особенность программы заключается в   возможности интегрировать в художественно – эстетическое воспитание задачи экологического направления. Программа строится с опорой на дидактический принцип: «Каждая новая ступень вбирает в себя основное содержание предыдущих, раскрывая его на новом уровне сложности». Большое значение в программе уделяется рисованию животных, это связано  с огромным интересом учащихся к миру животных. </w:t>
      </w:r>
      <w:r w:rsidRPr="0069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основывается на важнейшем дидактическом принципе — развивающем обучении и на научном положении Л. С. </w:t>
      </w:r>
      <w:proofErr w:type="spellStart"/>
      <w:r w:rsidRPr="0069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Выготского</w:t>
      </w:r>
      <w:proofErr w:type="spellEnd"/>
      <w:r w:rsidRPr="0069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Содержание рабочей программы не расходится с содержанием </w:t>
      </w:r>
      <w:r w:rsidRPr="00691F74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691F7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91F74">
        <w:rPr>
          <w:rFonts w:ascii="Times New Roman" w:hAnsi="Times New Roman" w:cs="Times New Roman"/>
          <w:sz w:val="24"/>
          <w:szCs w:val="24"/>
        </w:rPr>
        <w:t xml:space="preserve"> программы, это связано с тем, что данная программа рассчитана на среднестатистического дошкольника и опирается на любовь дошкольника к природе и животным. Программой предполагается участие в выставках, </w:t>
      </w:r>
      <w:r w:rsidRPr="00691F74">
        <w:rPr>
          <w:rFonts w:ascii="Times New Roman" w:hAnsi="Times New Roman" w:cs="Times New Roman"/>
          <w:sz w:val="24"/>
          <w:szCs w:val="24"/>
        </w:rPr>
        <w:lastRenderedPageBreak/>
        <w:t xml:space="preserve">конкурсах, экскурсия, праздниках искусства. Данные мероприятия выносятся из расписания  и проводятся во </w:t>
      </w:r>
      <w:proofErr w:type="spellStart"/>
      <w:r w:rsidRPr="00691F74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691F74">
        <w:rPr>
          <w:rFonts w:ascii="Times New Roman" w:hAnsi="Times New Roman" w:cs="Times New Roman"/>
          <w:sz w:val="24"/>
          <w:szCs w:val="24"/>
        </w:rPr>
        <w:t xml:space="preserve"> время, чтобы организовать еще и детско-взрослое взаимодействие. 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 xml:space="preserve">          Цель  программы.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      Формирование у детей дошкольного возраста целостных представлений о природе как о живом организме, средствами искусства.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 xml:space="preserve">        Задачи: </w:t>
      </w:r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    Способствовать накоплению   опыта эстетического (эмоционально – ценностного отношения к миру);</w:t>
      </w:r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М</w:t>
      </w:r>
      <w:r w:rsidRPr="00691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аксимально использовать  разнообразные виды  детской деятельности, их интеграция в целях повышения эффективности воспитательно-образовательного процесса;</w:t>
      </w:r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Приумножать опыта творческой деятельности;</w:t>
      </w:r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Способствовать творческому развитию дошкольников,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учить рисовать пастелью и восковыми мелками, тушью, пером, гелиевой ручкой; </w:t>
      </w:r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Создавать условия для самостоятельного выбора художественных инструментов и материалов, в соответствии с характером и спецификой задуманного образа (для пейзажных рисунков использовать акварель или пастель, для декоративного панно или орнамента – гуашь, для предварительных набросков или эскизов – уголь или простой карандаш); познакомить с нетрадиционными художественными техниками;</w:t>
      </w:r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F74">
        <w:rPr>
          <w:rFonts w:ascii="Times New Roman" w:hAnsi="Times New Roman" w:cs="Times New Roman"/>
          <w:sz w:val="24"/>
          <w:szCs w:val="24"/>
        </w:rPr>
        <w:t>Побуждать детей создавать динамичные выразительные образы и коллективные сюжетные композиции, самостоятельно выбирая тему, материал (глина, пластилин, солёное тесто), способы лепки (скульптурный, комбинированный, конструктивный, модульный, рельефный), приёмы декоративного образа;</w:t>
      </w:r>
      <w:proofErr w:type="gramEnd"/>
    </w:p>
    <w:p w:rsidR="00691F74" w:rsidRPr="00691F74" w:rsidRDefault="00691F74" w:rsidP="00691F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Знакомить с новыми видами аппликации из природного материала (осенних листьев, цветочных лепестков, семян, соломки, бересты).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реализации.</w:t>
      </w:r>
      <w:r w:rsidRPr="00691F74"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обучения. Общее количество часов по программе составляет 72  часа, в месяц 8 часов, в неделю 2 часа. 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b/>
          <w:bCs/>
          <w:sz w:val="24"/>
          <w:szCs w:val="24"/>
        </w:rPr>
        <w:t xml:space="preserve">          Режим занятий.</w:t>
      </w:r>
      <w:r w:rsidRPr="00691F74">
        <w:rPr>
          <w:rFonts w:ascii="Times New Roman" w:hAnsi="Times New Roman" w:cs="Times New Roman"/>
          <w:sz w:val="24"/>
          <w:szCs w:val="24"/>
        </w:rPr>
        <w:t xml:space="preserve">  Занятия осуществляются на базе учреждения дополнительного образования, в неделю проводится  2 часа. Длительность одного занятия в группе 6-7 лет (второй год обучения) – 30 мин. В день проходит 1 занятие.  Обязательным условием содержательной части программы является введение разгрузочных </w:t>
      </w:r>
      <w:proofErr w:type="spellStart"/>
      <w:r w:rsidRPr="00691F74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691F74">
        <w:rPr>
          <w:rFonts w:ascii="Times New Roman" w:hAnsi="Times New Roman" w:cs="Times New Roman"/>
          <w:sz w:val="24"/>
          <w:szCs w:val="24"/>
        </w:rPr>
        <w:t xml:space="preserve"> на развитие мелкой моторики, дидактических игр. Программа предполагает организацию выставок с результатами деятельности после прохождения каждой темы. Праздников искусства, которые будут способствовать привитию стойкого интереса к предмету. Данные мероприятия выносятся за рамки расписания и проходят в свободное время от занятий, что даёт возможность родителям посетить данные мероприятия, стать непосредственными участниками мероприятий  и увидеть результат обучения ребёнка.</w:t>
      </w:r>
      <w:r w:rsidRPr="00691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F74">
        <w:rPr>
          <w:rFonts w:ascii="Times New Roman" w:hAnsi="Times New Roman" w:cs="Times New Roman"/>
          <w:sz w:val="24"/>
          <w:szCs w:val="24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 Программа предполагает  резервные часы,  за счет которых организуются экскурсии.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 xml:space="preserve">      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  <w:proofErr w:type="gramStart"/>
      <w:r w:rsidRPr="00691F74">
        <w:rPr>
          <w:color w:val="000000"/>
        </w:rPr>
        <w:t xml:space="preserve">К концу обучения дети достигают определенного уровня художественного развития: эмоционально воспринимают содержание произведения, запоминают и узнают знакомые картины, иллюстрации, замечают изобразительно-выразительные средства (цвет, ритм, форму, </w:t>
      </w:r>
      <w:r w:rsidRPr="00691F74">
        <w:rPr>
          <w:color w:val="000000"/>
        </w:rPr>
        <w:lastRenderedPageBreak/>
        <w:t>композицию), с помощью этих средств создают образ в рисунке, оценивают то, что получилось, отмечают выразительность формы, линий, силуэта, цветового сочетания.</w:t>
      </w:r>
      <w:proofErr w:type="gramEnd"/>
      <w:r w:rsidRPr="00691F74">
        <w:rPr>
          <w:color w:val="000000"/>
        </w:rPr>
        <w:t xml:space="preserve"> У детей формируются творческие способности, необходимые для последующего обучения изобразительному искусству в школе.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F74">
        <w:rPr>
          <w:rFonts w:ascii="Times New Roman" w:hAnsi="Times New Roman" w:cs="Times New Roman"/>
          <w:b/>
          <w:bCs/>
          <w:sz w:val="24"/>
          <w:szCs w:val="24"/>
        </w:rPr>
        <w:t xml:space="preserve">         Условия реализации программы</w:t>
      </w:r>
    </w:p>
    <w:p w:rsidR="00691F74" w:rsidRPr="00691F74" w:rsidRDefault="00691F74" w:rsidP="00691F74">
      <w:pPr>
        <w:pStyle w:val="a3"/>
        <w:tabs>
          <w:tab w:val="left" w:pos="2027"/>
        </w:tabs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>Нормы выявления результатов: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контроля</w:t>
      </w:r>
      <w:r>
        <w:rPr>
          <w:rFonts w:ascii="Times New Roman" w:hAnsi="Times New Roman" w:cs="Times New Roman"/>
          <w:sz w:val="24"/>
          <w:szCs w:val="24"/>
        </w:rPr>
        <w:t xml:space="preserve"> на 2-й учебный год</w:t>
      </w:r>
      <w:r w:rsidRPr="00691F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F74" w:rsidRPr="00691F74" w:rsidRDefault="00691F74" w:rsidP="00691F74">
      <w:pPr>
        <w:pStyle w:val="2"/>
        <w:spacing w:after="0" w:line="240" w:lineRule="auto"/>
        <w:jc w:val="both"/>
      </w:pPr>
      <w:r w:rsidRPr="00691F74">
        <w:sym w:font="Symbol" w:char="00B7"/>
      </w:r>
      <w:r w:rsidRPr="00691F74">
        <w:t xml:space="preserve">    текущий – проводится на каждом занятии: акцентирование внимания, просмотр работ; рисуночные тесты  на моторику, выставка.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sym w:font="Symbol" w:char="00B7"/>
      </w:r>
      <w:r w:rsidRPr="00691F74">
        <w:rPr>
          <w:rFonts w:ascii="Times New Roman" w:hAnsi="Times New Roman" w:cs="Times New Roman"/>
          <w:sz w:val="24"/>
          <w:szCs w:val="24"/>
        </w:rPr>
        <w:t xml:space="preserve"> итоговый – проводится в конце учебного года, определяет уровень освоения программы: итоговая выставка.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>Формы фиксации результатов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фиксации результатов: грамоты, дипломы, отзывы родителей, видео, фотоматериалы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>Формы  предъявления результатов</w:t>
      </w:r>
    </w:p>
    <w:p w:rsidR="00691F74" w:rsidRPr="00691F74" w:rsidRDefault="00691F74" w:rsidP="00691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Программой предусмотрены следующие формы предъявления результатов: выставки, конкурсы, готовые изделия.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 xml:space="preserve">Оценочные материалы 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Система определения результативности, основанная на </w:t>
      </w:r>
      <w:proofErr w:type="spellStart"/>
      <w:r w:rsidRPr="00691F74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691F74">
        <w:rPr>
          <w:rFonts w:ascii="Times New Roman" w:hAnsi="Times New Roman" w:cs="Times New Roman"/>
          <w:sz w:val="24"/>
          <w:szCs w:val="24"/>
        </w:rPr>
        <w:t xml:space="preserve">  подходе, оценка компетентности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 xml:space="preserve">          Критерии оценки выполнения программы.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Оценивание осуществляется по основным критериям:</w:t>
      </w:r>
    </w:p>
    <w:p w:rsidR="00691F74" w:rsidRPr="00691F74" w:rsidRDefault="00691F74" w:rsidP="00691F74">
      <w:pPr>
        <w:pStyle w:val="ac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F74">
        <w:rPr>
          <w:rFonts w:ascii="Times New Roman" w:hAnsi="Times New Roman"/>
          <w:sz w:val="24"/>
          <w:szCs w:val="24"/>
        </w:rPr>
        <w:t>Выполнение поставленной цели.</w:t>
      </w:r>
    </w:p>
    <w:p w:rsidR="00691F74" w:rsidRPr="00691F74" w:rsidRDefault="00691F74" w:rsidP="00691F7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Уровень реализации поставленных задач.</w:t>
      </w:r>
    </w:p>
    <w:p w:rsidR="00691F74" w:rsidRPr="00691F74" w:rsidRDefault="00691F74" w:rsidP="00691F7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Анализ знаний и умений детей, согласно требованиям программы.</w:t>
      </w:r>
    </w:p>
    <w:p w:rsidR="00691F74" w:rsidRPr="00691F74" w:rsidRDefault="00691F74" w:rsidP="00691F7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Анализ используемых методических разработок.</w:t>
      </w: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     В результате реализации программы детьми должен быть достигнут определенный уровень 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</w:p>
    <w:p w:rsidR="00691F74" w:rsidRPr="00691F74" w:rsidRDefault="00691F74" w:rsidP="00691F74">
      <w:pPr>
        <w:pStyle w:val="2"/>
        <w:spacing w:after="0" w:line="240" w:lineRule="auto"/>
        <w:ind w:firstLine="709"/>
        <w:jc w:val="both"/>
      </w:pPr>
      <w:r w:rsidRPr="00691F74">
        <w:t>На первом этапе для педагога оценкой деятельности воспитанников     является  эмоциональный настрой.</w:t>
      </w:r>
    </w:p>
    <w:p w:rsidR="00691F74" w:rsidRPr="00691F74" w:rsidRDefault="00691F74" w:rsidP="00691F74">
      <w:pPr>
        <w:pStyle w:val="a4"/>
        <w:spacing w:after="0"/>
        <w:ind w:left="0" w:firstLine="709"/>
        <w:jc w:val="both"/>
      </w:pPr>
      <w:r w:rsidRPr="00691F74">
        <w:t>На первом году обучения при работе над сюжетом, композицией  педагог обращает внимание учащихся на выразительные средства, раскрывающие образ: дополнительные характерные детали, декор, колористические особенности. Детям предлагается отобрать понравившуюся им картину,  предмет, панно, рассказать, что в ней особенного. Такой вид оценки помогает ребенку сопоставить результат своей работы с результатами других детей.</w:t>
      </w:r>
    </w:p>
    <w:p w:rsidR="00691F74" w:rsidRPr="00691F74" w:rsidRDefault="00691F74" w:rsidP="00691F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обеспечение.</w:t>
      </w:r>
      <w:r w:rsidRPr="00691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Для обеспечения качественного учебного процесса необходим учебно-методический комплекс, который состоит из:</w:t>
      </w:r>
      <w:r w:rsidRPr="00691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1F74">
        <w:rPr>
          <w:rFonts w:ascii="Times New Roman" w:hAnsi="Times New Roman" w:cs="Times New Roman"/>
          <w:sz w:val="24"/>
          <w:szCs w:val="24"/>
        </w:rPr>
        <w:t>программных материалов, методической литературы, каталога ссылок и адресов полезных Интернет-ресурсов, материалов периодической печати по предметным областям и дидактике, литературных произведений, отражающих направленность программы, цифровых образовательных ресурсов, аудиозаписей  и звукового и музыкального сопровождения на природную тематику, раздаточного дидактического материала, динамических таблиц тематических фотографий, репродукций и иллюстраций, предметной наглядности.</w:t>
      </w:r>
      <w:proofErr w:type="gramEnd"/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74" w:rsidRPr="00691F74" w:rsidRDefault="00691F74" w:rsidP="00691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F74" w:rsidRPr="00691F74" w:rsidRDefault="00691F74" w:rsidP="00691F74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74" w:rsidRDefault="00691F74" w:rsidP="00691F74">
      <w:pPr>
        <w:spacing w:after="0"/>
      </w:pPr>
    </w:p>
    <w:p w:rsidR="008A7ED2" w:rsidRDefault="008A7ED2" w:rsidP="009B5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bCs/>
          <w:sz w:val="24"/>
          <w:szCs w:val="24"/>
        </w:rPr>
        <w:t>Календарный учебно-тематический план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«</w:t>
      </w:r>
      <w:r w:rsidR="00691F74">
        <w:rPr>
          <w:rFonts w:ascii="Times New Roman" w:hAnsi="Times New Roman" w:cs="Times New Roman"/>
          <w:sz w:val="24"/>
          <w:szCs w:val="24"/>
        </w:rPr>
        <w:t>Волшебная кисточка</w:t>
      </w:r>
      <w:r w:rsidRPr="009B59E8">
        <w:rPr>
          <w:rFonts w:ascii="Times New Roman" w:hAnsi="Times New Roman" w:cs="Times New Roman"/>
          <w:sz w:val="24"/>
          <w:szCs w:val="24"/>
        </w:rPr>
        <w:t>»</w:t>
      </w:r>
    </w:p>
    <w:p w:rsidR="009B59E8" w:rsidRP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на  2016-2017 учебный год</w:t>
      </w:r>
    </w:p>
    <w:p w:rsidR="009B59E8" w:rsidRP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91F74" w:rsidRPr="00A257BE" w:rsidRDefault="00691F74" w:rsidP="00A25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BE">
        <w:rPr>
          <w:rFonts w:ascii="Times New Roman" w:hAnsi="Times New Roman" w:cs="Times New Roman"/>
          <w:sz w:val="24"/>
          <w:szCs w:val="24"/>
        </w:rPr>
        <w:t>6-7 лет</w:t>
      </w:r>
    </w:p>
    <w:tbl>
      <w:tblPr>
        <w:tblW w:w="15034" w:type="dxa"/>
        <w:tblInd w:w="74" w:type="dxa"/>
        <w:tblLayout w:type="fixed"/>
        <w:tblLook w:val="0000"/>
      </w:tblPr>
      <w:tblGrid>
        <w:gridCol w:w="709"/>
        <w:gridCol w:w="1418"/>
        <w:gridCol w:w="3969"/>
        <w:gridCol w:w="598"/>
        <w:gridCol w:w="720"/>
        <w:gridCol w:w="808"/>
        <w:gridCol w:w="8"/>
        <w:gridCol w:w="1693"/>
        <w:gridCol w:w="8"/>
        <w:gridCol w:w="1835"/>
        <w:gridCol w:w="8"/>
        <w:gridCol w:w="1551"/>
        <w:gridCol w:w="8"/>
        <w:gridCol w:w="1693"/>
        <w:gridCol w:w="8"/>
      </w:tblGrid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1502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2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.Тематический блок «Мир природы»(20 час)</w:t>
            </w: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A25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диагностика творческого развития </w:t>
            </w:r>
            <w:proofErr w:type="spellStart"/>
            <w:r w:rsidRPr="00A257BE">
              <w:rPr>
                <w:rFonts w:ascii="Times New Roman" w:hAnsi="Times New Roman" w:cs="Times New Roman"/>
                <w:i/>
                <w:sz w:val="24"/>
                <w:szCs w:val="24"/>
              </w:rPr>
              <w:t>детей</w:t>
            </w:r>
            <w:proofErr w:type="gramStart"/>
            <w:r w:rsidRPr="00A257B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A257BE">
              <w:rPr>
                <w:rFonts w:ascii="Times New Roman" w:hAnsi="Times New Roman" w:cs="Times New Roman"/>
                <w:i/>
                <w:sz w:val="24"/>
                <w:szCs w:val="24"/>
              </w:rPr>
              <w:t>исунки</w:t>
            </w:r>
            <w:proofErr w:type="spellEnd"/>
            <w:r w:rsidRPr="00A257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свободную тему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исуночные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неба.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деревьев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аобаб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земли и неба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Радуга. Гуашью 3 красками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Аппликация из радуги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растений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Букет из бумаги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Цветики на тонированной бумаге пастелью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Осенние дары 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арбузом, грушей и 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виноградом пластилином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Каравай хлеба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природы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Воспоминания о лете, фактурная композиция.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Чудо цветок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1502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2.Тематический блок «Мир животных»(20 час)</w:t>
            </w: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птиц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Лебедушка»- ладошки, гуашь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 «Мудрая сова»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-«Пингвины»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экзотических животных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Семья жирафов на прогулке»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-«Слоненок»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-«Африканский крокодил»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-«Веселая обезьянка»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-«лев»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диких животных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-«Зебра. У зверей тоже есть мамы», цветной карандаш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Лиска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Образы домашних животных 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Озорной Пятачок»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насекомых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-«Бабочка», </w:t>
            </w: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подводного царства</w:t>
            </w: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Рыбка», лепка из соленого теста.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Образы животных в творчестве художников – анималистов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-«Копирка».</w:t>
            </w:r>
            <w:r w:rsidRPr="00A25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Выполнение копии с понравившегося произведения анималистов.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Обобщение по теме: Мир животных</w:t>
            </w: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1502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III. Тематический блок «Мир человека» (Мир фантазий и увлечений)(13 час)</w:t>
            </w: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  <w:r w:rsidRPr="00A25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Я» автопортрет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-«Моя семья», портреты мамы, папы, </w:t>
            </w: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абы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(графика)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праздник 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«Пасхальный стол»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улич, верба, </w:t>
            </w: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писанки-коллаж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-«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царство.  Сказочный замок Мороза  Деда»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-«Теплое царство. Замок Солнца»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Шахматное королевство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-«День и ночь», фломастер,  </w:t>
            </w:r>
            <w:proofErr w:type="spell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ручка. Изображение в овале деревьев. Овал делится на 2 части.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1502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Тематический блок «Мир искусства»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разных континентов («Мы путешественники»)) (19 час)</w:t>
            </w: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Пять континентов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Египту. Изображение пирамид,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-«Путешествие по Азии». 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(«Полёт над Кавказскими горами.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Горный пейзаж»,  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Американский континент» Зарубежные друзья. Ребята – индейцы 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-«Русский сувенир»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матрешки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Путешествие к берегам Японии-страны Пагода и сакура.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-«Космос» Коллаж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Моя Родина- Россия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Москва-столица нашей родины. Праздничный салют. Кремль.».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-«Я любуюсь храмом»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древнерусского храма.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город-Енисейск»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Наблюдение выставка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98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выставка</w:t>
            </w:r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рок-игра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Родители помогают оформить выставку.</w:t>
            </w:r>
          </w:p>
        </w:tc>
      </w:tr>
      <w:tr w:rsidR="00691F74" w:rsidRPr="00A257BE" w:rsidTr="007979D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часы. Экскурсия в музей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на выставку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1F74" w:rsidRPr="00A257BE" w:rsidRDefault="00691F74" w:rsidP="00A2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F74" w:rsidRPr="00A257BE" w:rsidRDefault="00691F74" w:rsidP="00A25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E8" w:rsidRPr="009B59E8" w:rsidRDefault="009B59E8" w:rsidP="00A25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E8" w:rsidRPr="005A3DB7" w:rsidRDefault="009B59E8" w:rsidP="009B59E8">
      <w:pPr>
        <w:widowControl w:val="0"/>
        <w:autoSpaceDE w:val="0"/>
        <w:autoSpaceDN w:val="0"/>
        <w:adjustRightInd w:val="0"/>
        <w:spacing w:after="0"/>
        <w:ind w:left="284"/>
        <w:jc w:val="center"/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8A7E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91F74" w:rsidRPr="00691F74" w:rsidRDefault="00691F74" w:rsidP="00691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91F74" w:rsidRPr="00691F74" w:rsidRDefault="00691F74" w:rsidP="00691F74">
      <w:pPr>
        <w:pStyle w:val="ac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1F74">
        <w:rPr>
          <w:rFonts w:ascii="Times New Roman" w:hAnsi="Times New Roman"/>
          <w:sz w:val="24"/>
          <w:szCs w:val="24"/>
        </w:rPr>
        <w:t>Копцева</w:t>
      </w:r>
      <w:proofErr w:type="spellEnd"/>
      <w:r w:rsidRPr="00691F74">
        <w:rPr>
          <w:rFonts w:ascii="Times New Roman" w:hAnsi="Times New Roman"/>
          <w:sz w:val="24"/>
          <w:szCs w:val="24"/>
        </w:rPr>
        <w:t xml:space="preserve"> Т.А. Природа и художник. Художественно – 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группы). – М.: ТЦ Сфера, 2006;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2.     Лыкова И.А. Цветные ладошки.  Программа по изобразительному искусству, 2008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3. Мелик-Пашаев А.А. Педагогика искусства и творческих способностей. М.:1983.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4. Мелик-Пашаев А.А. , </w:t>
      </w:r>
      <w:proofErr w:type="spellStart"/>
      <w:r w:rsidRPr="00691F74">
        <w:rPr>
          <w:rFonts w:ascii="Times New Roman" w:hAnsi="Times New Roman" w:cs="Times New Roman"/>
          <w:sz w:val="24"/>
          <w:szCs w:val="24"/>
        </w:rPr>
        <w:t>Новлянская</w:t>
      </w:r>
      <w:proofErr w:type="spellEnd"/>
      <w:r w:rsidRPr="00691F74">
        <w:rPr>
          <w:rFonts w:ascii="Times New Roman" w:hAnsi="Times New Roman" w:cs="Times New Roman"/>
          <w:sz w:val="24"/>
          <w:szCs w:val="24"/>
        </w:rPr>
        <w:t xml:space="preserve"> З.Н. Ступеньки к творчеству. М.: 1995.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F74">
        <w:rPr>
          <w:rFonts w:ascii="Times New Roman" w:hAnsi="Times New Roman" w:cs="Times New Roman"/>
          <w:color w:val="000000"/>
          <w:sz w:val="24"/>
          <w:szCs w:val="24"/>
        </w:rPr>
        <w:t>Мейстер</w:t>
      </w:r>
      <w:proofErr w:type="spellEnd"/>
      <w:r w:rsidRPr="00691F74">
        <w:rPr>
          <w:rFonts w:ascii="Times New Roman" w:hAnsi="Times New Roman" w:cs="Times New Roman"/>
          <w:color w:val="000000"/>
          <w:sz w:val="24"/>
          <w:szCs w:val="24"/>
        </w:rPr>
        <w:t xml:space="preserve"> Н.Г. «Бумажная пластика».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5.    </w:t>
      </w:r>
      <w:r w:rsidRPr="00691F74">
        <w:rPr>
          <w:rFonts w:ascii="Times New Roman" w:hAnsi="Times New Roman" w:cs="Times New Roman"/>
          <w:color w:val="000000"/>
          <w:sz w:val="24"/>
          <w:szCs w:val="24"/>
        </w:rPr>
        <w:t>Программа «Первые шаги в мире искусства» /Под ред. Н.А. Горяевой</w:t>
      </w:r>
      <w:r w:rsidRPr="00691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6.Рисование с детьми дошкольного возраста: Нетрадиционные техники, планирование, конспекты занятий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>од ред. Р.Г. Казаковой – М.: ТЦ Сфера, 2007.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>7. Казакова Т.Г. Развивайте у детей творчество. М.: Просвещение, 1995г.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>8. Комарова Т.С, Обучение детей техники рисования. М: Просвещение, 1996.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rPr>
          <w:color w:val="000000"/>
        </w:rPr>
        <w:t>9. Косминская В.Б. Теория и методика изобразительной деятельности в детском саду. Учебное пособие для студентов педагогических институтов. М.: Просвещение, 2005г.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</w:pPr>
      <w:r w:rsidRPr="00691F74">
        <w:rPr>
          <w:color w:val="000000"/>
        </w:rPr>
        <w:t xml:space="preserve">10. </w:t>
      </w:r>
      <w:proofErr w:type="spellStart"/>
      <w:r w:rsidRPr="00691F74">
        <w:rPr>
          <w:color w:val="000000"/>
        </w:rPr>
        <w:t>Шпикалова</w:t>
      </w:r>
      <w:proofErr w:type="spellEnd"/>
      <w:r w:rsidRPr="00691F74">
        <w:rPr>
          <w:color w:val="000000"/>
        </w:rPr>
        <w:t xml:space="preserve"> Т.Я. Изобразительное искусство для детей дошкольного возраста М: Мозаика – Синтез, 1997г.</w:t>
      </w:r>
      <w:r w:rsidRPr="00691F74">
        <w:t xml:space="preserve"> </w:t>
      </w:r>
    </w:p>
    <w:p w:rsidR="00691F74" w:rsidRPr="00691F74" w:rsidRDefault="00691F74" w:rsidP="00691F7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1F74">
        <w:t>11 .http://www.moi-detsad.ru/konsultac587.html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74">
        <w:rPr>
          <w:rFonts w:ascii="Times New Roman" w:hAnsi="Times New Roman" w:cs="Times New Roman"/>
          <w:b/>
          <w:sz w:val="24"/>
          <w:szCs w:val="24"/>
        </w:rPr>
        <w:t>Литература для родителей и детей: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1.</w:t>
      </w:r>
      <w:r w:rsidRPr="00691F74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691F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1F74">
        <w:rPr>
          <w:rFonts w:ascii="Times New Roman" w:hAnsi="Times New Roman" w:cs="Times New Roman"/>
          <w:sz w:val="24"/>
          <w:szCs w:val="24"/>
          <w:lang w:val="en-US"/>
        </w:rPr>
        <w:t>rdf</w:t>
      </w:r>
      <w:proofErr w:type="spellEnd"/>
      <w:r w:rsidRPr="00691F74">
        <w:rPr>
          <w:rFonts w:ascii="Times New Roman" w:hAnsi="Times New Roman" w:cs="Times New Roman"/>
          <w:sz w:val="24"/>
          <w:szCs w:val="24"/>
        </w:rPr>
        <w:t>. -тематические презентации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691F74">
          <w:rPr>
            <w:rStyle w:val="a8"/>
            <w:rFonts w:ascii="Times New Roman" w:hAnsi="Times New Roman" w:cs="Times New Roman"/>
            <w:sz w:val="24"/>
            <w:szCs w:val="24"/>
          </w:rPr>
          <w:t>http://detsad-38.narod.ru/stat1-20.htm-</w:t>
        </w:r>
      </w:hyperlink>
      <w:r w:rsidRPr="00691F74">
        <w:rPr>
          <w:rFonts w:ascii="Times New Roman" w:hAnsi="Times New Roman" w:cs="Times New Roman"/>
          <w:sz w:val="24"/>
          <w:szCs w:val="24"/>
        </w:rPr>
        <w:t xml:space="preserve"> возрастные особенности</w:t>
      </w:r>
    </w:p>
    <w:p w:rsidR="00691F74" w:rsidRPr="00691F74" w:rsidRDefault="00691F74" w:rsidP="00691F7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>3.http://gaidarovka-metod.ru</w:t>
      </w: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A82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7ED2" w:rsidRPr="008A7ED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74"/>
    <w:multiLevelType w:val="multilevel"/>
    <w:tmpl w:val="EAD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1A35"/>
    <w:multiLevelType w:val="multilevel"/>
    <w:tmpl w:val="2B5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979"/>
    <w:multiLevelType w:val="multilevel"/>
    <w:tmpl w:val="B0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4F90"/>
    <w:multiLevelType w:val="hybridMultilevel"/>
    <w:tmpl w:val="B8CE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308F0"/>
    <w:multiLevelType w:val="hybridMultilevel"/>
    <w:tmpl w:val="ABFA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E2669"/>
    <w:multiLevelType w:val="multilevel"/>
    <w:tmpl w:val="5D7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54E5"/>
    <w:multiLevelType w:val="hybridMultilevel"/>
    <w:tmpl w:val="03FE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30FD5"/>
    <w:multiLevelType w:val="hybridMultilevel"/>
    <w:tmpl w:val="1BF04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02300"/>
    <w:multiLevelType w:val="hybridMultilevel"/>
    <w:tmpl w:val="EBE2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46DB0"/>
    <w:multiLevelType w:val="multilevel"/>
    <w:tmpl w:val="734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36115"/>
    <w:multiLevelType w:val="multilevel"/>
    <w:tmpl w:val="7BF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F501E"/>
    <w:multiLevelType w:val="multilevel"/>
    <w:tmpl w:val="BBF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47229B"/>
    <w:multiLevelType w:val="hybridMultilevel"/>
    <w:tmpl w:val="BFBC1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F72AF"/>
    <w:multiLevelType w:val="multilevel"/>
    <w:tmpl w:val="01B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F0"/>
    <w:rsid w:val="002F2AF1"/>
    <w:rsid w:val="00373592"/>
    <w:rsid w:val="003F0626"/>
    <w:rsid w:val="00522F5F"/>
    <w:rsid w:val="00691F74"/>
    <w:rsid w:val="006A0DBA"/>
    <w:rsid w:val="008311BB"/>
    <w:rsid w:val="008443F3"/>
    <w:rsid w:val="008A7ED2"/>
    <w:rsid w:val="009B59E8"/>
    <w:rsid w:val="00A20AF0"/>
    <w:rsid w:val="00A257BE"/>
    <w:rsid w:val="00A82A5B"/>
    <w:rsid w:val="00B9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A7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7E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9E8"/>
  </w:style>
  <w:style w:type="paragraph" w:styleId="a6">
    <w:name w:val="Body Text"/>
    <w:basedOn w:val="a"/>
    <w:link w:val="a7"/>
    <w:uiPriority w:val="99"/>
    <w:semiHidden/>
    <w:unhideWhenUsed/>
    <w:rsid w:val="009B59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9E8"/>
  </w:style>
  <w:style w:type="character" w:styleId="a8">
    <w:name w:val="Hyperlink"/>
    <w:basedOn w:val="a0"/>
    <w:rsid w:val="009B59E8"/>
    <w:rPr>
      <w:color w:val="0000FF"/>
      <w:u w:val="single"/>
    </w:rPr>
  </w:style>
  <w:style w:type="paragraph" w:styleId="a9">
    <w:name w:val="Plain Text"/>
    <w:basedOn w:val="a"/>
    <w:link w:val="aa"/>
    <w:rsid w:val="009B5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a">
    <w:name w:val="Текст Знак"/>
    <w:basedOn w:val="a0"/>
    <w:link w:val="a9"/>
    <w:rsid w:val="009B59E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b">
    <w:name w:val="Strong"/>
    <w:basedOn w:val="a0"/>
    <w:uiPriority w:val="99"/>
    <w:qFormat/>
    <w:rsid w:val="009B59E8"/>
    <w:rPr>
      <w:rFonts w:cs="Times New Roman"/>
      <w:b/>
      <w:bCs/>
    </w:rPr>
  </w:style>
  <w:style w:type="paragraph" w:styleId="ac">
    <w:name w:val="List Paragraph"/>
    <w:basedOn w:val="a"/>
    <w:qFormat/>
    <w:rsid w:val="00691F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-38.narod.ru/stat1-20.htm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2016-10-27T05:15:00Z</dcterms:created>
  <dcterms:modified xsi:type="dcterms:W3CDTF">2016-10-27T07:01:00Z</dcterms:modified>
</cp:coreProperties>
</file>